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Лещенко</w:t>
      </w:r>
      <w:r>
        <w:rPr>
          <w:rFonts w:ascii="Times New Roman" w:hAnsi="Times New Roman"/>
          <w:sz w:val="24"/>
          <w:szCs w:val="24"/>
        </w:rPr>
        <w:t xml:space="preserve"> М.В. </w:t>
      </w:r>
    </w:p>
    <w:p>
      <w:pPr>
        <w:pStyle w:val="a6"/>
        <w:tabs>
          <w:tab w:val="left" w:pos="129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</w:p>
    <w:p>
      <w:pPr>
        <w:pStyle w:val="a6"/>
        <w:rPr>
          <w:rFonts w:ascii="Times New Roman" w:hAnsi="Times New Roman"/>
          <w:sz w:val="28"/>
          <w:szCs w:val="28"/>
        </w:rPr>
      </w:pPr>
    </w:p>
    <w:p>
      <w:pPr>
        <w:pStyle w:val="a6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b/>
          <w:sz w:val="28"/>
          <w:szCs w:val="28"/>
          <w:highlight w:val="yellow"/>
        </w:rPr>
        <w:t>Поговорим о здоровье</w:t>
      </w:r>
    </w:p>
    <w:p>
      <w:pPr>
        <w:pStyle w:val="a6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Cs/>
          <w:sz w:val="28"/>
          <w:szCs w:val="28"/>
          <w:highlight w:val="yellow"/>
        </w:rPr>
        <w:t>или</w:t>
      </w:r>
    </w:p>
    <w:p>
      <w:pPr>
        <w:pStyle w:val="a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/>
          <w:sz w:val="28"/>
          <w:szCs w:val="28"/>
          <w:highlight w:val="none"/>
        </w:rPr>
        <w:t xml:space="preserve">                                   </w:t>
      </w:r>
      <w:r>
        <w:rPr>
          <w:rFonts w:ascii="Times New Roman" w:hAnsi="Times New Roman"/>
          <w:b/>
          <w:sz w:val="28"/>
          <w:szCs w:val="28"/>
          <w:highlight w:val="none"/>
        </w:rPr>
        <w:t xml:space="preserve">      </w:t>
      </w:r>
      <w:r>
        <w:rPr>
          <w:rFonts w:ascii="Times New Roman" w:hAnsi="Times New Roman"/>
          <w:b/>
          <w:sz w:val="28"/>
          <w:szCs w:val="28"/>
          <w:highlight w:val="none"/>
        </w:rPr>
        <w:t xml:space="preserve">          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 Здоровье. Что это?</w:t>
      </w:r>
    </w:p>
    <w:p>
      <w:pPr>
        <w:pStyle w:val="a6"/>
        <w:rPr>
          <w:rFonts w:ascii="Times New Roman" w:hAnsi="Times New Roman"/>
          <w:b/>
          <w:sz w:val="28"/>
          <w:szCs w:val="28"/>
        </w:rPr>
      </w:pP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Слово «здоровье» принадлежит к тем  понятиям, значение которых знают все, но понимают по-разному. 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Здоров ли я? О чем могут говорить изменения самочувствия? Можно ли достичь абсолютного здоровья? Как можно улучшить здоровье? Эти и многие другие вопросы беспокоят людей разных возрастов. Здоровье - великое благо, осознание ценности которого должно быть присуще каждому человеку вне зависимости от уровня образования, социального положения, культуры. Здоровье - одно из основных условий оптимального существования человека, и, пожалуй, одно из основных условий счастья человека. 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Великий Сократ говорил: «Здоровье не все, но все без здоровья - ничто».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 разные времена философы, врачи, ученые давали разные определения понятия «Здоровье». Так, Соломон говорил: «Здоровье - мудрость жизни». Он считал, что большая часть причин всех болезней лежит в нарушении человеком меры жизни. Например, переедание, гиподинамия, вредные привычки, эмоциональные стрессы и пр. 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Амосов Н.М. считал: «Здоровье - это максимальная производительность органов при сохранении качественных пределов их функций». 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По мнению Лисицына Ю.П., здоровье определяется как гармоничное  единство биологических и социальных качеств, обусловленных врожденными и приобретенными биологическими и социальными явлениями. 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Наибольшее распространение получило определение Всемирной организации здравоохранения (ВОЗ): «Здоровье - состояние физического, духовного и социального благополучия, а не только отсутствие болезней и физический дефектов» (Устав ВОЗ 1946 г). Несмотря на то, что это определение было сформулировано 80 лет назад, оно продолжает оставаться актуальным, отражающим всю глубину и многосторонность этого понятия.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Таким образом,  здоровье человека - это комплексное, целостное и динамическое состояние, которое может меняться под воздействием многих, в том числе, социальных  факторов.  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Изучение здоровья представителями различных областей медицины проводится на  трех уровнях:  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общественное (популяционное) здоровье;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  <w:rtl w:val="off"/>
        </w:rPr>
      </w:pPr>
      <w:r>
        <w:rPr>
          <w:rFonts w:ascii="Times New Roman" w:hAnsi="Times New Roman"/>
          <w:sz w:val="28"/>
          <w:szCs w:val="28"/>
        </w:rPr>
        <w:t xml:space="preserve">* </w:t>
      </w:r>
      <w:r>
        <w:rPr>
          <w:rFonts w:ascii="Times New Roman" w:hAnsi="Times New Roman" w:cs="Times New Roman"/>
          <w:sz w:val="28"/>
          <w:szCs w:val="28"/>
        </w:rPr>
        <w:t>семейное или групповое здоровье</w:t>
      </w:r>
      <w:r>
        <w:rPr>
          <w:sz w:val="28"/>
          <w:szCs w:val="28"/>
        </w:rPr>
        <w:t xml:space="preserve"> ( </w:t>
      </w:r>
      <w:r>
        <w:rPr>
          <w:rFonts w:ascii="Times New Roman" w:hAnsi="Times New Roman"/>
          <w:sz w:val="28"/>
          <w:szCs w:val="28"/>
        </w:rPr>
        <w:t xml:space="preserve">малые социальные, этнические группы)     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индивидуальное (отдельного человека) здоровье.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</w:p>
    <w:p>
      <w:pPr>
        <w:pStyle w:val="a6"/>
        <w:ind w:leftChars="0" w:left="0" w:hanging="0" w:firstLineChars="261" w:firstLine="709"/>
        <w:jc w:val="both"/>
        <w:pBdr>
          <w:between w:val="none"/>
          <w:top w:val="none"/>
          <w:left w:val="none"/>
          <w:bottom w:val="none"/>
          <w:right w:val="none"/>
        </w:pBdr>
        <w:numPr>
          <w:ilvl w:val="0"/>
          <w:numId w:val="1"/>
        </w:numPr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Общественное здоровье</w:t>
      </w:r>
      <w:r>
        <w:rPr>
          <w:rFonts w:ascii="Times New Roman" w:hAnsi="Times New Roman"/>
          <w:sz w:val="28"/>
          <w:szCs w:val="28"/>
        </w:rPr>
        <w:t xml:space="preserve"> - это совокупное здоровье людей, проживающих на данной территории или в государстве в целом. Для определения популяционного здоровья используют типовые медико-статистические показатели.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А. Медико-демографические показатели: 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показатели естественного движения населения: смертность общая и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возрастная; средняя продолжительность предстоящей жизни; рождаемость, плодовитость; естественный прирост населения.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показатели механического движения населения: миграция населения (эмиграция, иммиграция, сезонная, внутригородская миграция и др.).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. Показатели заболеваемости и распространенности болезней: сердечно-сосудистой, дыхательной, выделительной систем; органов пищеварения, эндокринных заболеваний, онкологических, инфекционных и др.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. Показатели инвалидности и инвалидизации.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. Показатели физического развития населения.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 </w:t>
      </w:r>
      <w:r>
        <w:rPr>
          <w:rFonts w:ascii="Times New Roman" w:hAnsi="Times New Roman"/>
          <w:b/>
          <w:sz w:val="28"/>
          <w:szCs w:val="28"/>
        </w:rPr>
        <w:t>Групповой уровень здоровья</w:t>
      </w:r>
      <w:r>
        <w:rPr>
          <w:rFonts w:ascii="Times New Roman" w:hAnsi="Times New Roman"/>
          <w:sz w:val="28"/>
          <w:szCs w:val="28"/>
        </w:rPr>
        <w:t xml:space="preserve"> принято использовать для оценки здоровья школьников, студентов, а так же взрослых, относящихся к конкретным профессиональным категориям. К критериям оценки состояния здоровья школьников (групп) относятся:</w:t>
      </w:r>
    </w:p>
    <w:p>
      <w:pPr>
        <w:pStyle w:val="a6"/>
        <w:ind w:leftChars="0" w:left="0" w:hanging="0" w:firstLineChars="261" w:firstLine="709"/>
        <w:jc w:val="both"/>
        <w:tabs>
          <w:tab w:val="left" w:pos="5355"/>
        </w:tabs>
        <w:spacing w:line="36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3.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Индивидуальный уровень здоровья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Здоровье индивида включает в себя следующие компоненты здоровья: </w:t>
      </w:r>
    </w:p>
    <w:p>
      <w:pPr>
        <w:pStyle w:val="a6"/>
        <w:ind w:leftChars="150" w:left="360" w:hanging="0" w:firstLineChars="261" w:firstLine="709"/>
        <w:jc w:val="both"/>
        <w:pBdr>
          <w:between w:val="none"/>
          <w:top w:val="none"/>
          <w:left w:val="none"/>
          <w:bottom w:val="none"/>
          <w:right w:val="none"/>
        </w:pBdr>
        <w:numPr>
          <w:ilvl w:val="0"/>
          <w:numId w:val="2"/>
        </w:numPr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Генетическое здоровье - </w:t>
      </w:r>
      <w:r>
        <w:rPr>
          <w:rFonts w:ascii="Times New Roman" w:hAnsi="Times New Roman"/>
          <w:sz w:val="28"/>
          <w:szCs w:val="28"/>
        </w:rPr>
        <w:t xml:space="preserve">это индивидуальный генофонд, представленный миллионами генов, которые предопределяют конституционные особенности строения, формирования отдельных органов и систем, их взаимодействие, физиологические возможности человека с момента его рождения, генетическую предрасположенность к различным болезням. </w:t>
      </w:r>
    </w:p>
    <w:p>
      <w:pPr>
        <w:pStyle w:val="a6"/>
        <w:ind w:leftChars="150" w:left="360" w:hanging="0" w:firstLineChars="261" w:firstLine="709"/>
        <w:jc w:val="both"/>
        <w:pBdr>
          <w:between w:val="none"/>
          <w:top w:val="none"/>
          <w:left w:val="none"/>
          <w:bottom w:val="none"/>
          <w:right w:val="none"/>
        </w:pBdr>
        <w:numPr>
          <w:ilvl w:val="0"/>
          <w:numId w:val="2"/>
        </w:numPr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Физическое здоровье -</w:t>
      </w:r>
      <w:r>
        <w:rPr>
          <w:rFonts w:ascii="Times New Roman" w:hAnsi="Times New Roman"/>
          <w:sz w:val="28"/>
          <w:szCs w:val="28"/>
        </w:rPr>
        <w:t xml:space="preserve"> физическое развитие и соответствие его возрасту, физическая  подготовленность и работоспособность, а также функциональное состояние основных систем организма в покое и при нагрузке, во многом зависящая от физической подготовленности человека.</w:t>
      </w:r>
    </w:p>
    <w:p>
      <w:pPr>
        <w:pStyle w:val="a6"/>
        <w:ind w:leftChars="150" w:left="360" w:hanging="0" w:firstLineChars="261" w:firstLine="709"/>
        <w:jc w:val="both"/>
        <w:pBdr>
          <w:between w:val="none"/>
          <w:top w:val="none"/>
          <w:left w:val="none"/>
          <w:bottom w:val="none"/>
          <w:right w:val="none"/>
        </w:pBdr>
        <w:numPr>
          <w:ilvl w:val="0"/>
          <w:numId w:val="2"/>
        </w:numPr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Репродуктивное здоровье</w:t>
      </w:r>
      <w:r>
        <w:rPr>
          <w:rFonts w:ascii="Times New Roman" w:hAnsi="Times New Roman"/>
          <w:sz w:val="28"/>
          <w:szCs w:val="28"/>
        </w:rPr>
        <w:t xml:space="preserve"> - обеспечивает сохранение   и реализацию генофонда, ответственная и безопасная для здоровья сексуальная жизнь; возможность воспроизводить здоровое потомство.</w:t>
      </w:r>
    </w:p>
    <w:p>
      <w:pPr>
        <w:pStyle w:val="a6"/>
        <w:ind w:leftChars="150" w:left="360" w:hanging="0" w:firstLineChars="261" w:firstLine="709"/>
        <w:jc w:val="both"/>
        <w:pBdr>
          <w:between w:val="none"/>
          <w:top w:val="none"/>
          <w:left w:val="none"/>
          <w:bottom w:val="none"/>
          <w:right w:val="none"/>
        </w:pBdr>
        <w:numPr>
          <w:ilvl w:val="0"/>
          <w:numId w:val="2"/>
        </w:numPr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Психическое здоровье</w:t>
      </w:r>
      <w:r>
        <w:rPr>
          <w:rFonts w:ascii="Times New Roman" w:hAnsi="Times New Roman"/>
          <w:sz w:val="28"/>
          <w:szCs w:val="28"/>
        </w:rPr>
        <w:t xml:space="preserve"> - это состояние благополучия, при котором человек способен реализовывать свой собственный потенциал, справляться с обычными жизненными стрессами, продуктивно и плодотворно работать, а также вносить вклад в жизнь своего сообщества.</w:t>
      </w:r>
    </w:p>
    <w:p>
      <w:pPr>
        <w:pStyle w:val="a6"/>
        <w:ind w:leftChars="150" w:left="360" w:hanging="0" w:firstLineChars="261" w:firstLine="709"/>
        <w:jc w:val="both"/>
        <w:pBdr>
          <w:between w:val="none"/>
          <w:top w:val="none"/>
          <w:left w:val="none"/>
          <w:bottom w:val="none"/>
          <w:right w:val="none"/>
        </w:pBdr>
        <w:numPr>
          <w:ilvl w:val="0"/>
          <w:numId w:val="2"/>
        </w:numPr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Социальное здоровье</w:t>
      </w:r>
      <w:r>
        <w:rPr>
          <w:rFonts w:ascii="Times New Roman" w:hAnsi="Times New Roman"/>
          <w:sz w:val="28"/>
          <w:szCs w:val="28"/>
        </w:rPr>
        <w:t xml:space="preserve"> – успешная адаптация человека к реальным условиям общественной жизни, социума.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6"/>
        <w:ind w:leftChars="0" w:left="0" w:hanging="0" w:firstLineChars="261" w:firstLine="709"/>
        <w:jc w:val="both"/>
        <w:tabs>
          <w:tab w:val="left" w:pos="5355"/>
        </w:tabs>
        <w:spacing w:line="360"/>
        <w:rPr>
          <w:rFonts w:ascii="Times New Roman" w:eastAsia="Times New Roman" w:hAnsi="Times New Roman" w:cs="Times New Roman"/>
          <w:b/>
          <w:sz w:val="28"/>
          <w:szCs w:val="28"/>
        </w:rPr>
      </w:pP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состояния здоровья человека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состояния здоровья – это процедура, позволяющая выявить уровень здоровья индивида.  Она включает в себя врачебный осмотр и исследования  с использованием лабораторных и инструментальных методов . Диагностика при помощи специального оборудования, анализов, проводимых специалистами может включать значительное количество показателей. Оценка здоровья осуществляется в рамках диспансеризации и, при необходимости, дальнейшего диспансерного наблюдения. Для получения наиболее объективной картины состояния здоровья человека и возможности прогноза неблагоприятных отклонений количество исследуемых показателей постоянно увеличивается. Так, в 2026 г.  в число исследуемых на бесплатной основе лабораторных показателей был включен липидный профиль (различные виды липопротеинов, в том числе липопротеин (а)), что позволяет более точно понимать риски развития патологии сердечно-сосудистой системы и такие грозные состояния как инфаркт и инсульт.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Группы здоровья взрослых: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Первая группа</w:t>
      </w:r>
      <w:r>
        <w:rPr>
          <w:rFonts w:ascii="Times New Roman" w:hAnsi="Times New Roman"/>
          <w:sz w:val="28"/>
          <w:szCs w:val="28"/>
        </w:rPr>
        <w:t xml:space="preserve"> здоровья - здоровые люди, не имеющие нарушений функционального состояния органов и систем организма (например, АД, пульс, ЭКГ и др.), не имеющие хронических заболеваний. Такие люди обладают высокой работоспособностью организма. 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Вторая группа</w:t>
      </w:r>
      <w:r>
        <w:rPr>
          <w:rFonts w:ascii="Times New Roman" w:hAnsi="Times New Roman"/>
          <w:sz w:val="28"/>
          <w:szCs w:val="28"/>
        </w:rPr>
        <w:t xml:space="preserve"> здоровья – практически здоровые люди. Могут быть функциональные изменения органов и систем, которые существенным образом  не влияют на жизнедеятельность и трудоспособность. Необходимы  мероприятия по укреплению здоровья.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Третья группа</w:t>
      </w:r>
      <w:r>
        <w:rPr>
          <w:rFonts w:ascii="Times New Roman" w:hAnsi="Times New Roman"/>
          <w:sz w:val="28"/>
          <w:szCs w:val="28"/>
        </w:rPr>
        <w:t xml:space="preserve"> здоровья – люди, имеющие хронические  заболевания, приводящие к потере трудоспособности на короткое или продолжительное время.  Требуется диспансерное наблюдение и /или оказание медицинской помощи.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Переход от здоровья к болезни (предболезнь)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Здоровье и болезнь - различные, но взаимосвязанные формы жизнедеятельности организма в окружающей его среде - физической и социальной. Между ними еще более двух тысяч лет назад Гален выделил третье состояние - промежуточное: «ни здоровье, ни болезнь».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Переход от здоровья к болезни не является внезапным. Между ними есть ряд переходных стадий, которые не вызывают у человека выраженного снижения работоспособности. Состояние организма  есть результат его взаимодействия с окружающей средой, т. е. его адаптации (или дезадаптации) к условиям среды. Переход от здоровья к болезни можно рассматривать как процесс постепенного снижения способности человека приспосабливаться к изменениям окружающей среды.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Этот период называется </w:t>
      </w:r>
      <w:r>
        <w:rPr>
          <w:rFonts w:ascii="Times New Roman" w:hAnsi="Times New Roman"/>
          <w:b/>
          <w:bCs/>
          <w:sz w:val="28"/>
          <w:szCs w:val="28"/>
        </w:rPr>
        <w:t>преморбидным</w:t>
      </w:r>
      <w:r>
        <w:rPr>
          <w:rFonts w:ascii="Times New Roman" w:hAnsi="Times New Roman"/>
          <w:sz w:val="28"/>
          <w:szCs w:val="28"/>
        </w:rPr>
        <w:t xml:space="preserve">, или </w:t>
      </w:r>
      <w:r>
        <w:rPr>
          <w:rFonts w:ascii="Times New Roman" w:hAnsi="Times New Roman"/>
          <w:b/>
          <w:bCs/>
          <w:sz w:val="28"/>
          <w:szCs w:val="28"/>
        </w:rPr>
        <w:t xml:space="preserve">предболезнь - латентный, скрытый период болезни или стадия функциональной готовности организма к развитию определенного заболевания. 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говорил Авиценна о преморбидном периоде: «Тело здоровое, но не до предела; тело не здоровое, но не больше».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Признаки предболезни: </w:t>
      </w:r>
      <w:r>
        <w:rPr>
          <w:rFonts w:ascii="Times New Roman" w:hAnsi="Times New Roman"/>
          <w:sz w:val="28"/>
          <w:szCs w:val="28"/>
        </w:rPr>
        <w:t xml:space="preserve">общее недомогание, снижение аппетита, переедание, изжога, дисфункция кишечника, тошнота, изжога, отрыжка, утрата сексуального желания, спазмы, головные боли, апатия, неприятные ощущения в области сердца, судороги, повышенная потливость, боли в спине, беспокойство, тревожность и т.д. Эти изменения в организме могут продолжаться большее или меньшее время. В этот период у человека есть все ресурсы, чтобы выйти из этого состояния, но, при усугублении, при истощении адаптационных резервов, становится невозможным восстановить </w:t>
      </w:r>
      <w:r>
        <w:rPr>
          <w:lang w:val="en-US"/>
          <w:rFonts w:ascii="Times New Roman" w:hAnsi="Times New Roman"/>
          <w:sz w:val="28"/>
          <w:szCs w:val="28"/>
        </w:rPr>
        <w:t>status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lang w:val="en-US"/>
          <w:rFonts w:ascii="Times New Roman" w:hAnsi="Times New Roman"/>
          <w:sz w:val="28"/>
          <w:szCs w:val="28"/>
        </w:rPr>
        <w:t>quo</w:t>
      </w:r>
      <w:r>
        <w:rPr>
          <w:rFonts w:ascii="Times New Roman" w:hAnsi="Times New Roman"/>
          <w:sz w:val="28"/>
          <w:szCs w:val="28"/>
        </w:rPr>
        <w:t xml:space="preserve"> - развивает заболевание. 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Французский врач Рене Лариш заметил: «Болезнь - это драма в двух актах, из которых первый акт разыгрывается в угрюмой тиши тканей, при приглушенных огнях. Когда появляется боль или другие неприятные ощущения, это почти всегда второй акт». 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Понятие о болезни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«Болезнь - стесненная в своей свободе жизнь»! (К. Маркс)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Болезнь - нарушение нормальной жизнедеятельности организма, обусловленное функциональными и/или морфологическими изменениями.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Переход организма человека из состояния здоровья в промежуточное состояние, а из промежуточного состояния в болезнь происходит в большинстве случаев под влиянием </w:t>
      </w:r>
      <w:r>
        <w:rPr>
          <w:rFonts w:ascii="Times New Roman" w:hAnsi="Times New Roman"/>
          <w:b/>
          <w:bCs/>
          <w:sz w:val="28"/>
          <w:szCs w:val="28"/>
        </w:rPr>
        <w:t xml:space="preserve">факторов риска, </w:t>
      </w:r>
      <w:r>
        <w:rPr>
          <w:rFonts w:ascii="Times New Roman" w:hAnsi="Times New Roman"/>
          <w:sz w:val="28"/>
          <w:szCs w:val="28"/>
        </w:rPr>
        <w:t xml:space="preserve">при наличии которых, увеличивается вероятность возникновения заболевания. 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ведущим факторам риска развития основных неинфекционных заболеваний, являющихся общими для самых различных заболеваний,  относятся: курение, гиподинамия, избыточная масса тела, несбалансированное питание, артериальная гипертензия, психоэмоциональные стрессы и т. д.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Выделяют  факторы риска </w:t>
      </w:r>
      <w:r>
        <w:rPr>
          <w:rFonts w:ascii="Times New Roman" w:hAnsi="Times New Roman"/>
          <w:b/>
          <w:bCs/>
          <w:sz w:val="28"/>
          <w:szCs w:val="28"/>
        </w:rPr>
        <w:t>первичные и вторичные.</w:t>
      </w: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Основные </w:t>
      </w:r>
      <w:r>
        <w:rPr>
          <w:rFonts w:ascii="Times New Roman" w:hAnsi="Times New Roman"/>
          <w:b/>
          <w:sz w:val="28"/>
          <w:szCs w:val="28"/>
        </w:rPr>
        <w:t>первичные факторы риска</w:t>
      </w:r>
      <w:r>
        <w:rPr>
          <w:rFonts w:ascii="Times New Roman" w:hAnsi="Times New Roman"/>
          <w:sz w:val="28"/>
          <w:szCs w:val="28"/>
        </w:rPr>
        <w:t>: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нездоровый образ жизни (курение, употребление алкоголя, несбалансированное питание, стрессовые ситуации, постоянное психоэмоциональное напряжение, гиподинамия, плохие материально-бытовые условия, употребление наркотиков, неблагоприятный моральный климат в семье, низкий культурный и образовательный уровень, низкая медицинская активность и т. д.);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повышенный уровень холестерина в крови, артериальная гипертензия;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неблагоприятная наследственность (наследственная предрасположенность к различным заболеваниям, генетический риск — предрасположенность к наследственным болезням);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неблагоприятное состояние окружающей среды (загрязнение воздуха канцерогенами и другими вредными веществами, загрязнение воды, загрязнение почвы, резкая смена атмосферных параметров, повышение радиационных, магнитных и других излучений);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неудовлетворительная работа органов здравоохранения (низкое качество медицинской помощи, несвоевременность оказания медицинской помощи, труднодоступность медицинской помощи).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b/>
          <w:bCs/>
          <w:sz w:val="28"/>
          <w:szCs w:val="28"/>
        </w:rPr>
        <w:t xml:space="preserve">вторичным факторам риска </w:t>
      </w:r>
      <w:r>
        <w:rPr>
          <w:rFonts w:ascii="Times New Roman" w:hAnsi="Times New Roman"/>
          <w:sz w:val="28"/>
          <w:szCs w:val="28"/>
        </w:rPr>
        <w:t>относятся заболевания, которые отягощают течение других болезней: сахарный диабет, атеросклероз, артериальная гипертензия и т. д.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отношении каждой болезни существуют </w:t>
      </w:r>
      <w:r>
        <w:rPr>
          <w:rFonts w:ascii="Times New Roman" w:hAnsi="Times New Roman"/>
          <w:b/>
          <w:bCs/>
          <w:sz w:val="28"/>
          <w:szCs w:val="28"/>
        </w:rPr>
        <w:t xml:space="preserve">причины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b/>
          <w:bCs/>
          <w:sz w:val="28"/>
          <w:szCs w:val="28"/>
        </w:rPr>
        <w:t>условия.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Причина (этиология)</w:t>
      </w:r>
      <w:r>
        <w:rPr>
          <w:rFonts w:ascii="Times New Roman" w:hAnsi="Times New Roman"/>
          <w:sz w:val="28"/>
          <w:szCs w:val="28"/>
        </w:rPr>
        <w:t xml:space="preserve"> - это фактор, вызывающий заболевание (микроорганизмы, яды, аллергены, травмы и др.).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Различают </w:t>
      </w:r>
      <w:r>
        <w:rPr>
          <w:rFonts w:ascii="Times New Roman" w:hAnsi="Times New Roman"/>
          <w:b/>
          <w:bCs/>
          <w:sz w:val="28"/>
          <w:szCs w:val="28"/>
        </w:rPr>
        <w:t xml:space="preserve">внутренние (эндогенные) </w:t>
      </w:r>
      <w:r>
        <w:rPr>
          <w:rFonts w:ascii="Times New Roman" w:hAnsi="Times New Roman"/>
          <w:sz w:val="28"/>
          <w:szCs w:val="28"/>
        </w:rPr>
        <w:t xml:space="preserve">причины и </w:t>
      </w:r>
      <w:r>
        <w:rPr>
          <w:rFonts w:ascii="Times New Roman" w:hAnsi="Times New Roman"/>
          <w:b/>
          <w:bCs/>
          <w:sz w:val="28"/>
          <w:szCs w:val="28"/>
        </w:rPr>
        <w:t xml:space="preserve">внешние (экзогенные) </w:t>
      </w:r>
      <w:r>
        <w:rPr>
          <w:rFonts w:ascii="Times New Roman" w:hAnsi="Times New Roman"/>
          <w:sz w:val="28"/>
          <w:szCs w:val="28"/>
        </w:rPr>
        <w:t>причины возникновения заболеваний.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внутренним причинам относятся врожденные дефекты, наследственная предрасположенность, вредные привычки.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внешним причинам относятся проникновение в организм патогенных микробов, ядов, токсинов, травмы, отравления.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Условия </w:t>
      </w:r>
      <w:r>
        <w:rPr>
          <w:rFonts w:ascii="Times New Roman" w:hAnsi="Times New Roman"/>
          <w:sz w:val="28"/>
          <w:szCs w:val="28"/>
        </w:rPr>
        <w:t xml:space="preserve">- это такие факторы среды или особенности самого организма, без которых заболевание может и не возникнуть даже при наличии причины заболевания.  Например, во время эпидемии гриппа болеют не все, а в первую очередь лица с ослабленным иммунитетом, вследствие гиповитаминоза, дефицита питания, переутомления, переохлаждения, курения и т. д. 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Наступление заболевания в ряде случаев связана с реактивностью и резистентность организма.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Реактивность организма </w:t>
      </w:r>
      <w:r>
        <w:rPr>
          <w:rFonts w:ascii="Times New Roman" w:hAnsi="Times New Roman"/>
          <w:sz w:val="28"/>
          <w:szCs w:val="28"/>
        </w:rPr>
        <w:t xml:space="preserve">характеризуется способностью реагировать на изменяющиеся условия внешней и внутренней среды и тесно связана с резистентностью. 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Резистентность </w:t>
      </w:r>
      <w:r>
        <w:rPr>
          <w:rFonts w:ascii="Times New Roman" w:hAnsi="Times New Roman"/>
          <w:sz w:val="28"/>
          <w:szCs w:val="28"/>
        </w:rPr>
        <w:t xml:space="preserve">отражает степень устойчивости к тому или иному патогенному фактору. 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Признаки болезни называют </w:t>
      </w:r>
      <w:r>
        <w:rPr>
          <w:rFonts w:ascii="Times New Roman" w:hAnsi="Times New Roman"/>
          <w:b/>
          <w:sz w:val="28"/>
          <w:szCs w:val="28"/>
        </w:rPr>
        <w:t>симптомами.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Закономерное сочетание симптомов, объединенных единым механизмом болезни, называют </w:t>
      </w:r>
      <w:r>
        <w:rPr>
          <w:rFonts w:ascii="Times New Roman" w:hAnsi="Times New Roman"/>
          <w:b/>
          <w:sz w:val="28"/>
          <w:szCs w:val="28"/>
        </w:rPr>
        <w:t>синдромом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Профилактика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Профилактика - </w:t>
      </w:r>
      <w:r>
        <w:rPr>
          <w:rFonts w:ascii="Times New Roman" w:hAnsi="Times New Roman"/>
          <w:sz w:val="28"/>
          <w:szCs w:val="28"/>
        </w:rPr>
        <w:t xml:space="preserve">термин, означающий комплекс различного рода мероприятий, направленных на предупреждение какого-либо явления и/или устранение факторов риска. 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Вопросы предупреждения болезней занимали значительное место в медицине на протяжении всей ее истории. Однако разработка научных основ профилактики началась лишь в 19 веке благодаря развитию общебиологических наук, медицинской науки в целом. 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Выдающийся хирург Пирогов Н.И. говорил: «Будущее принадлежит медицине профилактической».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состоянию здоровья профилактику условно можно подразделить на первичную, вторичную, третичную.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Первичная профилактика</w:t>
      </w:r>
      <w:r>
        <w:rPr>
          <w:rFonts w:ascii="Times New Roman" w:hAnsi="Times New Roman"/>
          <w:sz w:val="28"/>
          <w:szCs w:val="28"/>
        </w:rPr>
        <w:t xml:space="preserve"> - система мер наступательного характера, направленных на устранение условий и причин, вызывающих заболевание.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принципы первичной профилактики: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6"/>
        <w:ind w:leftChars="0" w:left="0" w:hanging="0" w:firstLineChars="261" w:firstLine="709"/>
        <w:jc w:val="both"/>
        <w:numPr>
          <w:ilvl w:val="0"/>
          <w:numId w:val="3"/>
        </w:numPr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непрерывность профилактических мероприятий (на протяжении всей жизни, начиная еще в антенатальном периоде);</w:t>
      </w:r>
    </w:p>
    <w:p>
      <w:pPr>
        <w:pStyle w:val="a6"/>
        <w:ind w:leftChars="0" w:left="0" w:hanging="0" w:firstLineChars="261" w:firstLine="709"/>
        <w:jc w:val="both"/>
        <w:numPr>
          <w:ilvl w:val="0"/>
          <w:numId w:val="3"/>
        </w:numPr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дифференцированный характер профилактических мероприятий;</w:t>
      </w:r>
    </w:p>
    <w:p>
      <w:pPr>
        <w:pStyle w:val="a6"/>
        <w:ind w:leftChars="0" w:left="0" w:hanging="0" w:firstLineChars="261" w:firstLine="709"/>
        <w:jc w:val="both"/>
        <w:numPr>
          <w:ilvl w:val="0"/>
          <w:numId w:val="3"/>
        </w:numPr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массовость профилактики;</w:t>
      </w:r>
    </w:p>
    <w:p>
      <w:pPr>
        <w:pStyle w:val="a6"/>
        <w:ind w:leftChars="0" w:left="0" w:hanging="0" w:firstLineChars="261" w:firstLine="709"/>
        <w:jc w:val="both"/>
        <w:numPr>
          <w:ilvl w:val="0"/>
          <w:numId w:val="3"/>
        </w:numPr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научность профилактики;</w:t>
      </w:r>
    </w:p>
    <w:p>
      <w:pPr>
        <w:pStyle w:val="a6"/>
        <w:ind w:leftChars="0" w:left="0" w:hanging="0" w:firstLineChars="261" w:firstLine="709"/>
        <w:jc w:val="both"/>
        <w:numPr>
          <w:ilvl w:val="0"/>
          <w:numId w:val="3"/>
        </w:numPr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комплексность профилактических мер (участие в профилактике лечебных учреждений, органов власти, общественных организаций, населения). 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Вторичная профилактика</w:t>
      </w:r>
      <w:r>
        <w:rPr>
          <w:rFonts w:ascii="Times New Roman" w:hAnsi="Times New Roman"/>
          <w:sz w:val="28"/>
          <w:szCs w:val="28"/>
        </w:rPr>
        <w:t xml:space="preserve">  - комплекс медицинских мероприятий оборонительного характера, направленных на раннее выявление заболеваний, предупреждение рецидивов, прогрессирование патологического процесса.</w:t>
      </w: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6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b/>
          <w:bCs/>
          <w:sz w:val="28"/>
          <w:szCs w:val="28"/>
        </w:rPr>
        <w:t>ретичная профилактика</w:t>
      </w:r>
      <w:r>
        <w:rPr>
          <w:rFonts w:ascii="Times New Roman" w:hAnsi="Times New Roman"/>
          <w:sz w:val="28"/>
          <w:szCs w:val="28"/>
        </w:rPr>
        <w:t xml:space="preserve">  - предупреждение рецидивов заболевания, реабилитация больных, инвалидов, которые утратили возможность полноценной жизнедеятельности. </w:t>
      </w:r>
    </w:p>
    <w:p>
      <w:pPr>
        <w:pStyle w:val="a6"/>
        <w:rPr>
          <w:sz w:val="28"/>
          <w:szCs w:val="28"/>
        </w:rPr>
      </w:pPr>
    </w:p>
    <w:sectPr>
      <w:pgSz w:w="11906" w:h="16838"/>
      <w:pgMar w:top="1134" w:right="1134" w:bottom="1134" w:left="1134" w:header="709" w:footer="850" w:gutter="0"/>
      <w:cols w:space="720"/>
      <w:docGrid w:linePitch="360"/>
      <w:headerReference w:type="default" r:id="rId1"/>
      <w:footerReference w:type="default" r:id="rId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false"/>
    <w:sig w:usb0="E0002EFF" w:usb1="C000785B" w:usb2="00000009" w:usb3="00000001" w:csb0="400001FF" w:csb1="FFFF0000"/>
  </w:font>
  <w:font w:name="Arial Unicode MS">
    <w:panose1 w:val="020B0604020202020204"/>
    <w:family w:val="swiss"/>
    <w:charset w:val="80"/>
    <w:notTrueType w:val="false"/>
    <w:sig w:usb0="FFFFFFFF" w:usb1="E9FFFFFF" w:usb2="0000003F" w:usb3="00000001" w:csb0="603F01FF" w:csb1="FFFF0000"/>
  </w:font>
  <w:font w:name="Helvetica">
    <w:panose1 w:val="020B0604020202030204"/>
    <w:family w:val="swiss"/>
    <w:charset w:val="cc"/>
    <w:notTrueType w:val="false"/>
    <w:sig w:usb0="00000001" w:usb1="00000001" w:usb2="00000001" w:usb3="00000001" w:csb0="00000093" w:csb1="00000001"/>
  </w:font>
  <w:font w:name="Symbol">
    <w:panose1 w:val="05050102010706020507"/>
    <w:family w:val="roman"/>
    <w:charset w:val="02"/>
    <w:notTrueType w:val="false"/>
    <w:sig w:usb0="00000001" w:usb1="00000001" w:usb2="00000001" w:usb3="00000001" w:csb0="80000000" w:csb1="00000001"/>
  </w:font>
  <w:font w:name="Courier New">
    <w:panose1 w:val="02070309020205020404"/>
    <w:family w:val="modern"/>
    <w:charset w:val="cc"/>
    <w:notTrueType w:val="false"/>
    <w:sig w:usb0="E0002EFF" w:usb1="C0007843" w:usb2="00000009" w:usb3="00000001" w:csb0="400001FF" w:csb1="FFFF0000"/>
  </w:font>
  <w:font w:name="Wingdings">
    <w:panose1 w:val="05000000000000000000"/>
    <w:family w:val="auto"/>
    <w:charset w:val="02"/>
    <w:notTrueType w:val="false"/>
    <w:sig w:usb0="00000001" w:usb1="00000001" w:usb2="00000001" w:usb3="00000001" w:csb0="80000000" w:csb1="00000001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29bf4206"/>
    <w:multiLevelType w:val="hybridMultilevel"/>
    <w:tmpl w:val="bb3c8baa"/>
    <w:numStyleLink w:val="a0"/>
  </w:abstractNum>
  <w:abstractNum w:abstractNumId="1">
    <w:nsid w:val="b46370c"/>
    <w:multiLevelType w:val="hybridMultilevel"/>
    <w:tmpl w:val="4eda98e2"/>
    <w:numStyleLink w:val="a"/>
  </w:abstractNum>
  <w:abstractNum w:abstractNumId="2">
    <w:nsid w:val="7ad22fc6"/>
    <w:multiLevelType w:val="hybridMultilevel"/>
    <w:tmpl w:val="7b84fa02"/>
    <w:lvl w:ilvl="0" w:tplc="d86ea244">
      <w:start w:val="3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  <w:b/>
      </w:rPr>
    </w:lvl>
    <w:lvl w:ilvl="1" w:tentative="on" w:tplc="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on" w:tplc="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on" w:tplc="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on" w:tplc="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on" w:tplc="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on" w:tplc="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on" w:tplc="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on" w:tplc="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20"/>
  <w:drawingGridHorizontalSpacing w:val="1000"/>
  <w:drawingGridVerticalSpacing w:val="100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bdr w:val="nil"/>
        <w:lang w:val="ru-RU" w:eastAsia="ru-RU" w:bidi="ar-SA"/>
        <w:rFonts w:ascii="Times New Roman" w:eastAsia="Arial Unicode MS" w:hAnsi="Times New Roman" w:cs="Times New Roman"/>
      </w:rPr>
    </w:rPrDefault>
    <w:pPrDefault>
      <w:pPr>
        <w:pBdr>
          <w:between w:val="nil"/>
          <w:top w:val="nil"/>
          <w:left w:val="nil"/>
          <w:bottom w:val="nil"/>
          <w:right w:val="nil"/>
        </w:pBdr>
      </w:pPr>
    </w:pPrDefault>
  </w:docDefaults>
  <w:style w:type="paragraph" w:default="1" w:styleId="a1">
    <w:name w:val="Normal"/>
    <w:rPr>
      <w:lang w:val="en-US" w:eastAsia="en-US"/>
      <w:sz w:val="24"/>
      <w:szCs w:val="24"/>
    </w:rPr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paragraph" w:customStyle="1" w:styleId="a6">
    <w:name w:val="Текстовый блок"/>
    <w:rPr>
      <w:rFonts w:ascii="Helvetica" w:hAnsi="Helvetica" w:cs="Arial Unicode MS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footer" Target="footer1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fontTable" Target="fontTable.xml" /><Relationship Id="rId6" Type="http://schemas.openxmlformats.org/officeDocument/2006/relationships/webSettings" Target="webSettings.xml" /><Relationship Id="rId7" Type="http://schemas.openxmlformats.org/officeDocument/2006/relationships/numbering" Target="numbering.xml" /><Relationship Id="rId8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Blank">
  <a:themeElements>
    <a:clrScheme name="Blank">
      <a:dk1>
        <a:sysClr lastClr="000000" val="windowText"/>
      </a:dk1>
      <a:lt1>
        <a:sysClr lastClr="FFFFFF" val="window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  <a:font script="Jpan" typeface=""/>
        <a:font script="Hang" typeface=""/>
        <a:font script="Hans" typeface=""/>
        <a:font script="Hant" typeface=""/>
        <a:font script="Arab" typeface=""/>
        <a:font script="Hebr" typeface=""/>
        <a:font script="Thai" typeface=""/>
        <a:font script="Ethi" typeface=""/>
        <a:font script="Beng" typeface=""/>
        <a:font script="Gujr" typeface=""/>
        <a:font script="Khmr" typeface=""/>
        <a:font script="Knda" typeface=""/>
        <a:font script="Guru" typeface=""/>
        <a:font script="Cans" typeface=""/>
        <a:font script="Cher" typeface=""/>
        <a:font script="Yiii" typeface=""/>
        <a:font script="Tibt" typeface=""/>
        <a:font script="Thaa" typeface=""/>
        <a:font script="Deva" typeface=""/>
        <a:font script="Telu" typeface=""/>
        <a:font script="Taml" typeface=""/>
        <a:font script="Syrc" typeface=""/>
        <a:font script="Orya" typeface=""/>
        <a:font script="Mlym" typeface=""/>
        <a:font script="Laoo" typeface=""/>
        <a:font script="Sinh" typeface=""/>
        <a:font script="Mong" typeface=""/>
        <a:font script="Viet" typeface=""/>
        <a:font script="Uigh" typeface=""/>
        <a:font script="Geor" typeface=""/>
      </a:majorFont>
      <a:minorFont>
        <a:latin typeface="Helvetica"/>
        <a:ea typeface="Helvetica"/>
        <a:cs typeface="Helvetica"/>
        <a:font script="Jpan" typeface=""/>
        <a:font script="Hang" typeface=""/>
        <a:font script="Hans" typeface=""/>
        <a:font script="Hant" typeface=""/>
        <a:font script="Arab" typeface=""/>
        <a:font script="Hebr" typeface=""/>
        <a:font script="Thai" typeface=""/>
        <a:font script="Ethi" typeface=""/>
        <a:font script="Beng" typeface=""/>
        <a:font script="Gujr" typeface=""/>
        <a:font script="Khmr" typeface=""/>
        <a:font script="Knda" typeface=""/>
        <a:font script="Guru" typeface=""/>
        <a:font script="Cans" typeface=""/>
        <a:font script="Cher" typeface=""/>
        <a:font script="Yiii" typeface=""/>
        <a:font script="Tibt" typeface=""/>
        <a:font script="Thaa" typeface=""/>
        <a:font script="Deva" typeface=""/>
        <a:font script="Telu" typeface=""/>
        <a:font script="Taml" typeface=""/>
        <a:font script="Syrc" typeface=""/>
        <a:font script="Orya" typeface=""/>
        <a:font script="Mlym" typeface=""/>
        <a:font script="Laoo" typeface=""/>
        <a:font script="Sinh" typeface=""/>
        <a:font script="Mong" typeface=""/>
        <a:font script="Viet" typeface=""/>
        <a:font script="Uigh" typeface=""/>
        <a:font script="Geor" typeface="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Company>SPecialiST RePack</Company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/>
  <cp:revision>1</cp:revision>
  <dcterms:created xsi:type="dcterms:W3CDTF">2026-09-18T11:24:00Z</dcterms:created>
  <dcterms:modified xsi:type="dcterms:W3CDTF">2026-09-23T09:08:27Z</dcterms:modified>
  <cp:version>0900.0100.01</cp:version>
</cp:coreProperties>
</file>